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C4" w:rsidRDefault="00844B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RESPONSABLE (FEDER)</w:t>
      </w:r>
    </w:p>
    <w:p w:rsidR="00386EC4" w:rsidRDefault="00386EC4">
      <w:pPr>
        <w:pStyle w:val="Default"/>
        <w:jc w:val="center"/>
        <w:rPr>
          <w:b/>
          <w:bCs/>
          <w:sz w:val="22"/>
          <w:szCs w:val="22"/>
        </w:rPr>
      </w:pPr>
    </w:p>
    <w:p w:rsidR="00386EC4" w:rsidRDefault="00844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efectos de lo dispuesto en el Reglamento (UE) nº 1303/2013 del Parlamento Europeo y del Consejo, de 17 de diciembre de 2013,</w:t>
      </w:r>
    </w:p>
    <w:p w:rsidR="00386EC4" w:rsidRDefault="00386EC4">
      <w:pPr>
        <w:pStyle w:val="Default"/>
        <w:jc w:val="both"/>
        <w:rPr>
          <w:sz w:val="22"/>
          <w:szCs w:val="22"/>
        </w:rPr>
      </w:pPr>
    </w:p>
    <w:p w:rsidR="00386EC4" w:rsidRDefault="00844B48">
      <w:pPr>
        <w:pStyle w:val="Default"/>
        <w:jc w:val="both"/>
      </w:pPr>
      <w:r>
        <w:rPr>
          <w:sz w:val="22"/>
          <w:szCs w:val="22"/>
        </w:rPr>
        <w:t>D/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(Representante legal</w:t>
      </w:r>
      <w:proofErr w:type="gramStart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.....................................................</w:t>
      </w:r>
      <w:proofErr w:type="gramEnd"/>
      <w:r>
        <w:rPr>
          <w:sz w:val="22"/>
          <w:szCs w:val="22"/>
        </w:rPr>
        <w:t>, con domicilio en ..................................................................... y DNI nº ............., en representación de ............</w:t>
      </w:r>
      <w:r>
        <w:rPr>
          <w:sz w:val="22"/>
          <w:szCs w:val="22"/>
        </w:rPr>
        <w:t xml:space="preserve">..........................................................................................., con domicilio social en ……………………………….............. </w:t>
      </w: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CIF nº...................,</w:t>
      </w:r>
    </w:p>
    <w:p w:rsidR="00386EC4" w:rsidRDefault="00844B48">
      <w:pPr>
        <w:pStyle w:val="Defaul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:rsidR="00386EC4" w:rsidRDefault="00844B48">
      <w:pPr>
        <w:pStyle w:val="Default"/>
        <w:jc w:val="both"/>
      </w:pPr>
      <w:r>
        <w:rPr>
          <w:sz w:val="22"/>
          <w:szCs w:val="22"/>
        </w:rPr>
        <w:t>Teniendo en cuenta la convocatoria de expresiones de interés para subvenciones n</w:t>
      </w:r>
      <w:r>
        <w:rPr>
          <w:sz w:val="22"/>
          <w:szCs w:val="22"/>
        </w:rPr>
        <w:t xml:space="preserve">o reembolsables para la realización  </w:t>
      </w:r>
      <w:r>
        <w:rPr>
          <w:rFonts w:eastAsia="Symbol"/>
          <w:sz w:val="22"/>
          <w:szCs w:val="20"/>
        </w:rPr>
        <w:t>de actuaciones que favorezcan el ahorro energético, la mejora de la eficiencia energética, el aprovechamiento de las energías renovables y la mejora de la accesibilidad en los inmuebles y espacios públicos turísticos</w:t>
      </w:r>
    </w:p>
    <w:p w:rsidR="00386EC4" w:rsidRDefault="00844B48">
      <w:pPr>
        <w:pStyle w:val="Defaul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:rsidR="00386EC4" w:rsidRDefault="00844B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DECLARA:</w:t>
      </w:r>
    </w:p>
    <w:p w:rsidR="00386EC4" w:rsidRDefault="00844B48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Tener capacidad administrativa, financiera y operativa para cumplir las condiciones contempladas en el documento que establece las condiciones de la ayuda para la operación.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2. Conocer que la cofinanciación europea y la aceptación de la ayuda</w:t>
      </w:r>
      <w:r>
        <w:rPr>
          <w:sz w:val="22"/>
          <w:szCs w:val="22"/>
        </w:rPr>
        <w:t xml:space="preserve"> implica la aceptación de la inclusión en una lista pública de operaciones, de conformidad con el artículo 115.2 y las responsabilidades señaladas en el Anexo XII del Reglamento (UE) nº 1303/2013 del Parlamento Europeo y del Consejo. Asimismo, que se ha in</w:t>
      </w:r>
      <w:r>
        <w:rPr>
          <w:sz w:val="22"/>
          <w:szCs w:val="22"/>
        </w:rPr>
        <w:t>formado de que la información suministrada, podrá ser utilizada por las autoridades del programa para realizar un análisis de riesgo y que existe la posibilidad de comunicar al Servicio Nacional de Coordinación Antifraude, los hechos que pudieran ser const</w:t>
      </w:r>
      <w:r>
        <w:rPr>
          <w:sz w:val="22"/>
          <w:szCs w:val="22"/>
        </w:rPr>
        <w:t>itutivos de fraude o irregularidad.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3. Conocer la obligatoriedad de cumplir la normativa nacional y comunitaria aplicable.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4. Conocer la obligación de llevar un sistema de contabilidad aparte, o asignar un código contable adecuado a todas las transaccion</w:t>
      </w:r>
      <w:r>
        <w:rPr>
          <w:sz w:val="22"/>
          <w:szCs w:val="22"/>
        </w:rPr>
        <w:t>es relacionadas con la operación.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5. Conocer la obligación de aplicar medidas antifraude eficaces y proporcionadas en el ámbito de su gestión evitando la doble financiación, las falsificaciones de documentos y otras prácticas que evidencien riesgos de fra</w:t>
      </w:r>
      <w:r>
        <w:rPr>
          <w:sz w:val="22"/>
          <w:szCs w:val="22"/>
        </w:rPr>
        <w:t>ude.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 xml:space="preserve">6. Conocer la obligación de mantenimiento de la propiedad, naturaleza, condiciones y objetivo de las inversiones subvencionadas durante un plazo de cinco años señalados en el artículo 71 del </w:t>
      </w:r>
      <w:r w:rsidR="003F704D">
        <w:rPr>
          <w:sz w:val="22"/>
          <w:szCs w:val="22"/>
        </w:rPr>
        <w:t>Reglamento (UE) nº 1303/2013</w:t>
      </w:r>
      <w:r>
        <w:rPr>
          <w:sz w:val="22"/>
          <w:szCs w:val="22"/>
        </w:rPr>
        <w:t>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7. No hallarse</w:t>
      </w:r>
      <w:r>
        <w:rPr>
          <w:color w:val="323232"/>
          <w:sz w:val="22"/>
          <w:szCs w:val="22"/>
        </w:rPr>
        <w:t xml:space="preserve"> incursa en ninguna de las causas de pr</w:t>
      </w:r>
      <w:r>
        <w:rPr>
          <w:color w:val="323232"/>
          <w:sz w:val="22"/>
          <w:szCs w:val="22"/>
        </w:rPr>
        <w:t>ohibición para ser beneficiario, establecidas en el artículo 13 de la Ley 38/2003, de 17 de noviembre, General de Subvenciones.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8. Haber</w:t>
      </w:r>
      <w:r>
        <w:rPr>
          <w:color w:val="323232"/>
          <w:sz w:val="22"/>
          <w:szCs w:val="22"/>
        </w:rPr>
        <w:t xml:space="preserve"> procedido a la correcta justificación de las subvenciones concedidas con anterioridad por los órganos de la Administra</w:t>
      </w:r>
      <w:r>
        <w:rPr>
          <w:color w:val="323232"/>
          <w:sz w:val="22"/>
          <w:szCs w:val="22"/>
        </w:rPr>
        <w:t>ción Pública de la Comunidad Autónoma en los términos establecidos en el Decreto 36/2009, de 31 de marzo.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9. Comprometerse</w:t>
      </w:r>
      <w:r>
        <w:rPr>
          <w:color w:val="323232"/>
          <w:sz w:val="22"/>
          <w:szCs w:val="22"/>
        </w:rPr>
        <w:t xml:space="preserve"> a aportar los documentos probatorios o los datos adicionales que le sean requeridos.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 xml:space="preserve">10. </w:t>
      </w:r>
      <w:r>
        <w:rPr>
          <w:color w:val="323232"/>
          <w:sz w:val="22"/>
          <w:szCs w:val="22"/>
        </w:rPr>
        <w:t xml:space="preserve">Que los datos anteriores son ciertos y </w:t>
      </w:r>
      <w:r w:rsidR="00F03079">
        <w:rPr>
          <w:color w:val="323232"/>
          <w:sz w:val="22"/>
          <w:szCs w:val="22"/>
        </w:rPr>
        <w:t xml:space="preserve">que conoce que el intercambio de información se hará de conformidad con lo establecido en el artículo 122.3 </w:t>
      </w:r>
      <w:r w:rsidR="003F704D">
        <w:rPr>
          <w:sz w:val="22"/>
          <w:szCs w:val="22"/>
        </w:rPr>
        <w:t>Reglamento (UE) nº 1303/2013</w:t>
      </w:r>
      <w:r>
        <w:rPr>
          <w:color w:val="323232"/>
          <w:sz w:val="22"/>
          <w:szCs w:val="22"/>
        </w:rPr>
        <w:t>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11. Estar</w:t>
      </w:r>
      <w:r>
        <w:rPr>
          <w:color w:val="323232"/>
          <w:sz w:val="22"/>
          <w:szCs w:val="22"/>
        </w:rPr>
        <w:t xml:space="preserve"> dado de alta como tercero en el Sistema de Información Económico Financiera de la Comunidad Autónoma de Canarias, debidamente cumplimentado por la Tesorería del Gobierno de Canarias, o en su caso, la obligación de tr</w:t>
      </w:r>
      <w:r>
        <w:rPr>
          <w:color w:val="323232"/>
          <w:sz w:val="22"/>
          <w:szCs w:val="22"/>
        </w:rPr>
        <w:t xml:space="preserve">amitarlo con carácter previo a que </w:t>
      </w:r>
      <w:r>
        <w:rPr>
          <w:color w:val="323232"/>
          <w:sz w:val="22"/>
          <w:szCs w:val="22"/>
        </w:rPr>
        <w:lastRenderedPageBreak/>
        <w:t>sea dictada la resolución provisional de concesión.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12. Encontrarse</w:t>
      </w:r>
      <w:r>
        <w:rPr>
          <w:color w:val="323232"/>
          <w:sz w:val="22"/>
          <w:szCs w:val="22"/>
        </w:rPr>
        <w:t xml:space="preserve"> al corriente en el cumplimiento de las Obligaciones Tributarias, Estatales y Autonómicas y con la Seguridad Social.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13. No tener</w:t>
      </w:r>
      <w:r>
        <w:rPr>
          <w:color w:val="323232"/>
          <w:sz w:val="22"/>
          <w:szCs w:val="22"/>
        </w:rPr>
        <w:t xml:space="preserve"> pendiente reintegro de</w:t>
      </w:r>
      <w:r>
        <w:rPr>
          <w:color w:val="323232"/>
          <w:sz w:val="22"/>
          <w:szCs w:val="22"/>
        </w:rPr>
        <w:t xml:space="preserve"> subvenciones concedidas con anterioridad por cualquier órgano de la Administración Pública de la Comunidad Autónoma de Canarias o de sus Entidades de Derecho Público vinculadas o dependientes.</w:t>
      </w:r>
    </w:p>
    <w:p w:rsidR="00386EC4" w:rsidRDefault="00844B48">
      <w:pPr>
        <w:pStyle w:val="Default"/>
        <w:spacing w:before="120"/>
        <w:jc w:val="both"/>
      </w:pPr>
      <w:r>
        <w:rPr>
          <w:sz w:val="22"/>
          <w:szCs w:val="22"/>
        </w:rPr>
        <w:t>14. No haber</w:t>
      </w:r>
      <w:r>
        <w:rPr>
          <w:color w:val="323232"/>
          <w:sz w:val="22"/>
          <w:szCs w:val="22"/>
        </w:rPr>
        <w:t xml:space="preserve"> recibido ayudas o subvenciones con el mismo obje</w:t>
      </w:r>
      <w:r>
        <w:rPr>
          <w:color w:val="323232"/>
          <w:sz w:val="22"/>
          <w:szCs w:val="22"/>
        </w:rPr>
        <w:t>to provenientes de cualquier Administración o Ente Público nacional o internacional o de la Unión Europea, ni atribuciones patrimoniales gratuitas de entidades privadas o particulares para el mismo destino. (En otro caso, hará constar las que haya solicita</w:t>
      </w:r>
      <w:r>
        <w:rPr>
          <w:color w:val="323232"/>
          <w:sz w:val="22"/>
          <w:szCs w:val="22"/>
        </w:rPr>
        <w:t>do y el importe de las recibidas</w:t>
      </w:r>
    </w:p>
    <w:p w:rsidR="00386EC4" w:rsidRDefault="00844B48">
      <w:pPr>
        <w:pStyle w:val="Default"/>
        <w:spacing w:before="120"/>
        <w:jc w:val="both"/>
      </w:pPr>
      <w:r>
        <w:rPr>
          <w:i/>
          <w:iCs/>
          <w:sz w:val="22"/>
          <w:szCs w:val="22"/>
        </w:rPr>
        <w:t xml:space="preserve">15. </w:t>
      </w:r>
      <w:r>
        <w:rPr>
          <w:sz w:val="22"/>
          <w:szCs w:val="22"/>
        </w:rPr>
        <w:t>Conocer</w:t>
      </w:r>
      <w:r>
        <w:rPr>
          <w:color w:val="323232"/>
          <w:sz w:val="22"/>
          <w:szCs w:val="22"/>
        </w:rPr>
        <w:t xml:space="preserve"> las obligaciones medioambientales que comporta la cofinanciación FEDER, de conformidad con lo dispuesto en el Reglamento (UE) nº 1303/2013, y en el caso de que la ejecución de las operaciones precise de Declaración de Impacto ambiental, se compromete a su</w:t>
      </w:r>
      <w:r>
        <w:rPr>
          <w:color w:val="323232"/>
          <w:sz w:val="22"/>
          <w:szCs w:val="22"/>
        </w:rPr>
        <w:t xml:space="preserve"> obtención y puesta a disposición del órgano concedente.</w:t>
      </w:r>
    </w:p>
    <w:p w:rsidR="00386EC4" w:rsidRDefault="00844B48">
      <w:pPr>
        <w:pStyle w:val="Default"/>
        <w:spacing w:before="120"/>
        <w:jc w:val="both"/>
      </w:pPr>
      <w:r>
        <w:rPr>
          <w:i/>
          <w:iCs/>
          <w:sz w:val="22"/>
          <w:szCs w:val="22"/>
        </w:rPr>
        <w:t xml:space="preserve">16. </w:t>
      </w:r>
      <w:r>
        <w:rPr>
          <w:sz w:val="22"/>
          <w:szCs w:val="22"/>
        </w:rPr>
        <w:t>Comprometerse</w:t>
      </w:r>
      <w:r>
        <w:rPr>
          <w:color w:val="323232"/>
          <w:sz w:val="22"/>
          <w:szCs w:val="22"/>
        </w:rPr>
        <w:t xml:space="preserve"> en la ejecución de las operaciones a dar cumplimiento a las disposiciones que en materia de igualdad se recogen en la Ley Orgánica 3/2007, de 22 de marzo para la igualdad efectiva </w:t>
      </w:r>
      <w:r>
        <w:rPr>
          <w:color w:val="323232"/>
          <w:sz w:val="22"/>
          <w:szCs w:val="22"/>
        </w:rPr>
        <w:t xml:space="preserve">de mujeres y hombres y Ley 1/2010, de 26 de febrero, Canaria de Igualdad entre mujeres y hombres y no está cumpliendo sanción administrativa o penal por incurrir en discriminación por razón de sexo, o por alentar o tolerar prácticas laborales consideradas </w:t>
      </w:r>
      <w:r>
        <w:rPr>
          <w:color w:val="323232"/>
          <w:sz w:val="22"/>
          <w:szCs w:val="22"/>
        </w:rPr>
        <w:t>discriminatorias por la Legislación vigente.</w:t>
      </w:r>
    </w:p>
    <w:p w:rsidR="00386EC4" w:rsidRDefault="00844B48">
      <w:pPr>
        <w:pStyle w:val="Default"/>
        <w:spacing w:before="120"/>
        <w:jc w:val="both"/>
      </w:pPr>
      <w:r>
        <w:rPr>
          <w:i/>
          <w:iCs/>
          <w:sz w:val="22"/>
          <w:szCs w:val="22"/>
        </w:rPr>
        <w:t xml:space="preserve">17. </w:t>
      </w:r>
      <w:r>
        <w:rPr>
          <w:sz w:val="22"/>
          <w:szCs w:val="22"/>
        </w:rPr>
        <w:t>Asumir</w:t>
      </w:r>
      <w:r>
        <w:rPr>
          <w:color w:val="323232"/>
          <w:sz w:val="22"/>
          <w:szCs w:val="22"/>
        </w:rPr>
        <w:t xml:space="preserve"> las obligaciones y responsabilidades que, en materia de información y comunicación sobre el apoyo procedente de los fondos, son de aplicación de conformidad con el artículo 115 y anexo XII del Reglam</w:t>
      </w:r>
      <w:r>
        <w:rPr>
          <w:color w:val="323232"/>
          <w:sz w:val="22"/>
          <w:szCs w:val="22"/>
        </w:rPr>
        <w:t>ento (UE) nº 1303/2013 del Parlamento Europeo y del Consejo, de 17 de diciembre de 2013.</w:t>
      </w:r>
    </w:p>
    <w:p w:rsidR="00386EC4" w:rsidRDefault="00386EC4">
      <w:pPr>
        <w:pStyle w:val="Default"/>
        <w:jc w:val="both"/>
        <w:rPr>
          <w:color w:val="323232"/>
          <w:sz w:val="22"/>
          <w:szCs w:val="22"/>
        </w:rPr>
      </w:pPr>
    </w:p>
    <w:p w:rsidR="00386EC4" w:rsidRDefault="00844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 para que así conste, a los efectos legales de poder obtener la condición de beneficiario de la cofinanciación establecida en dicho Programa Operativo FEDER, firma </w:t>
      </w:r>
      <w:r>
        <w:rPr>
          <w:sz w:val="22"/>
          <w:szCs w:val="22"/>
        </w:rPr>
        <w:t>la presente declaración.</w:t>
      </w:r>
    </w:p>
    <w:p w:rsidR="00386EC4" w:rsidRDefault="00386EC4">
      <w:pPr>
        <w:pStyle w:val="Default"/>
        <w:jc w:val="both"/>
        <w:rPr>
          <w:sz w:val="22"/>
          <w:szCs w:val="22"/>
        </w:rPr>
      </w:pPr>
    </w:p>
    <w:p w:rsidR="00386EC4" w:rsidRDefault="00386EC4">
      <w:pPr>
        <w:pStyle w:val="Default"/>
        <w:rPr>
          <w:sz w:val="22"/>
          <w:szCs w:val="22"/>
        </w:rPr>
      </w:pPr>
    </w:p>
    <w:p w:rsidR="00386EC4" w:rsidRDefault="00386EC4">
      <w:pPr>
        <w:pStyle w:val="Default"/>
        <w:rPr>
          <w:sz w:val="22"/>
          <w:szCs w:val="22"/>
        </w:rPr>
      </w:pPr>
    </w:p>
    <w:p w:rsidR="00386EC4" w:rsidRDefault="00386EC4">
      <w:pPr>
        <w:pStyle w:val="Default"/>
        <w:rPr>
          <w:b/>
          <w:bCs/>
          <w:sz w:val="22"/>
          <w:szCs w:val="22"/>
        </w:rPr>
      </w:pPr>
    </w:p>
    <w:p w:rsidR="00386EC4" w:rsidRDefault="00386EC4">
      <w:pPr>
        <w:pStyle w:val="Default"/>
        <w:rPr>
          <w:b/>
          <w:bCs/>
          <w:sz w:val="22"/>
          <w:szCs w:val="22"/>
        </w:rPr>
      </w:pPr>
    </w:p>
    <w:p w:rsidR="00386EC4" w:rsidRDefault="00386EC4">
      <w:pPr>
        <w:pStyle w:val="Default"/>
        <w:rPr>
          <w:b/>
          <w:bCs/>
          <w:sz w:val="22"/>
          <w:szCs w:val="22"/>
        </w:rPr>
      </w:pPr>
    </w:p>
    <w:p w:rsidR="00386EC4" w:rsidRDefault="00386EC4">
      <w:pPr>
        <w:pStyle w:val="Default"/>
        <w:rPr>
          <w:b/>
          <w:bCs/>
          <w:sz w:val="22"/>
          <w:szCs w:val="22"/>
        </w:rPr>
      </w:pPr>
    </w:p>
    <w:p w:rsidR="00386EC4" w:rsidRDefault="00386EC4">
      <w:pPr>
        <w:pStyle w:val="Default"/>
        <w:rPr>
          <w:b/>
          <w:bCs/>
          <w:sz w:val="22"/>
          <w:szCs w:val="22"/>
        </w:rPr>
      </w:pPr>
    </w:p>
    <w:p w:rsidR="00386EC4" w:rsidRDefault="00386EC4">
      <w:pPr>
        <w:pStyle w:val="Default"/>
        <w:jc w:val="center"/>
        <w:rPr>
          <w:b/>
          <w:bCs/>
          <w:sz w:val="22"/>
          <w:szCs w:val="22"/>
        </w:rPr>
      </w:pPr>
    </w:p>
    <w:sectPr w:rsidR="00386EC4" w:rsidSect="00386EC4">
      <w:headerReference w:type="default" r:id="rId6"/>
      <w:footerReference w:type="default" r:id="rId7"/>
      <w:pgSz w:w="11906" w:h="16838"/>
      <w:pgMar w:top="2141" w:right="1418" w:bottom="1418" w:left="1418" w:header="284" w:footer="10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8" w:rsidRDefault="00844B48" w:rsidP="00386EC4">
      <w:r>
        <w:separator/>
      </w:r>
    </w:p>
  </w:endnote>
  <w:endnote w:type="continuationSeparator" w:id="0">
    <w:p w:rsidR="00844B48" w:rsidRDefault="00844B48" w:rsidP="0038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4" w:rsidRDefault="00386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8" w:rsidRDefault="00844B48" w:rsidP="00386EC4">
      <w:r w:rsidRPr="00386EC4">
        <w:rPr>
          <w:color w:val="000000"/>
        </w:rPr>
        <w:separator/>
      </w:r>
    </w:p>
  </w:footnote>
  <w:footnote w:type="continuationSeparator" w:id="0">
    <w:p w:rsidR="00844B48" w:rsidRDefault="00844B48" w:rsidP="00386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4" w:rsidRDefault="00386EC4">
    <w:pPr>
      <w:pStyle w:val="Standard"/>
      <w:rPr>
        <w:rFonts w:ascii="Gill Sans" w:hAnsi="Gill Sans" w:cs="Gill Sans"/>
        <w:sz w:val="16"/>
      </w:rPr>
    </w:pPr>
  </w:p>
  <w:p w:rsidR="00386EC4" w:rsidRDefault="00386EC4">
    <w:pPr>
      <w:pStyle w:val="Header"/>
      <w:rPr>
        <w:rFonts w:ascii="Gill Sans" w:hAnsi="Gill Sans" w:cs="Gill Sans"/>
        <w:sz w:val="16"/>
      </w:rPr>
    </w:pPr>
    <w:r>
      <w:rPr>
        <w:rFonts w:ascii="Gill Sans" w:hAnsi="Gill Sans" w:cs="Gill Sans"/>
        <w:noProof/>
        <w:sz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822960</wp:posOffset>
          </wp:positionH>
          <wp:positionV relativeFrom="page">
            <wp:posOffset>466560</wp:posOffset>
          </wp:positionV>
          <wp:extent cx="1852919" cy="527040"/>
          <wp:effectExtent l="0" t="0" r="0" b="0"/>
          <wp:wrapSquare wrapText="left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-83" t="-291" r="-83" b="-291"/>
                  <a:stretch>
                    <a:fillRect/>
                  </a:stretch>
                </pic:blipFill>
                <pic:spPr>
                  <a:xfrm>
                    <a:off x="0" y="0"/>
                    <a:ext cx="1852919" cy="527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ill Sans" w:hAnsi="Gill Sans" w:cs="Gill Sans"/>
        <w:noProof/>
        <w:sz w:val="1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1908719</wp:posOffset>
          </wp:positionH>
          <wp:positionV relativeFrom="paragraph">
            <wp:posOffset>191160</wp:posOffset>
          </wp:positionV>
          <wp:extent cx="2013480" cy="531000"/>
          <wp:effectExtent l="0" t="0" r="0" b="0"/>
          <wp:wrapNone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 l="-6" t="15278" r="-6" b="13630"/>
                  <a:stretch>
                    <a:fillRect/>
                  </a:stretch>
                </pic:blipFill>
                <pic:spPr>
                  <a:xfrm>
                    <a:off x="0" y="0"/>
                    <a:ext cx="2013480" cy="53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ill Sans" w:hAnsi="Gill Sans" w:cs="Gill Sans"/>
        <w:noProof/>
        <w:sz w:val="16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4256280</wp:posOffset>
          </wp:positionH>
          <wp:positionV relativeFrom="paragraph">
            <wp:posOffset>238680</wp:posOffset>
          </wp:positionV>
          <wp:extent cx="2401560" cy="699840"/>
          <wp:effectExtent l="0" t="0" r="0" b="0"/>
          <wp:wrapNone/>
          <wp:docPr id="3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 l="-35" t="-114" r="-35" b="-114"/>
                  <a:stretch>
                    <a:fillRect/>
                  </a:stretch>
                </pic:blipFill>
                <pic:spPr>
                  <a:xfrm>
                    <a:off x="0" y="0"/>
                    <a:ext cx="2401560" cy="699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EC4"/>
    <w:rsid w:val="00386EC4"/>
    <w:rsid w:val="003F704D"/>
    <w:rsid w:val="007C63CE"/>
    <w:rsid w:val="00844B48"/>
    <w:rsid w:val="00F0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6EC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rsid w:val="00386EC4"/>
    <w:pPr>
      <w:jc w:val="center"/>
    </w:pPr>
    <w:rPr>
      <w:rFonts w:ascii="Arial" w:hAnsi="Arial" w:cs="Arial"/>
      <w:b/>
      <w:bCs/>
      <w:sz w:val="28"/>
    </w:rPr>
  </w:style>
  <w:style w:type="paragraph" w:customStyle="1" w:styleId="Textbody">
    <w:name w:val="Text body"/>
    <w:basedOn w:val="Standard"/>
    <w:rsid w:val="00386EC4"/>
    <w:pPr>
      <w:jc w:val="right"/>
    </w:pPr>
  </w:style>
  <w:style w:type="paragraph" w:styleId="Lista">
    <w:name w:val="List"/>
    <w:basedOn w:val="Textbody"/>
    <w:rsid w:val="00386EC4"/>
    <w:rPr>
      <w:rFonts w:cs="Lucida Sans"/>
    </w:rPr>
  </w:style>
  <w:style w:type="paragraph" w:customStyle="1" w:styleId="Caption">
    <w:name w:val="Caption"/>
    <w:basedOn w:val="Standard"/>
    <w:rsid w:val="00386E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86EC4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rsid w:val="00386E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escripcin">
    <w:name w:val="Descripción"/>
    <w:basedOn w:val="Standard"/>
    <w:rsid w:val="00386E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Etiqueta">
    <w:name w:val="Etiqueta"/>
    <w:basedOn w:val="Standard"/>
    <w:rsid w:val="00386E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Standard"/>
    <w:rsid w:val="00386EC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386EC4"/>
    <w:pPr>
      <w:tabs>
        <w:tab w:val="center" w:pos="4252"/>
        <w:tab w:val="right" w:pos="8504"/>
      </w:tabs>
    </w:pPr>
  </w:style>
  <w:style w:type="paragraph" w:styleId="Subttulo">
    <w:name w:val="Subtitle"/>
    <w:basedOn w:val="Encabezado1"/>
    <w:next w:val="Textbody"/>
    <w:rsid w:val="00386EC4"/>
    <w:pPr>
      <w:jc w:val="center"/>
    </w:pPr>
    <w:rPr>
      <w:i/>
      <w:iCs/>
    </w:rPr>
  </w:style>
  <w:style w:type="paragraph" w:customStyle="1" w:styleId="Textoindependiente31">
    <w:name w:val="Texto independiente 31"/>
    <w:basedOn w:val="Standard"/>
    <w:rsid w:val="00386EC4"/>
    <w:pPr>
      <w:jc w:val="both"/>
    </w:pPr>
    <w:rPr>
      <w:rFonts w:ascii="Arial" w:hAnsi="Arial" w:cs="Arial"/>
      <w:b/>
      <w:sz w:val="24"/>
    </w:rPr>
  </w:style>
  <w:style w:type="paragraph" w:customStyle="1" w:styleId="Footer">
    <w:name w:val="Footer"/>
    <w:basedOn w:val="Standard"/>
    <w:rsid w:val="00386EC4"/>
    <w:pPr>
      <w:tabs>
        <w:tab w:val="center" w:pos="4252"/>
        <w:tab w:val="right" w:pos="8504"/>
      </w:tabs>
    </w:pPr>
  </w:style>
  <w:style w:type="paragraph" w:customStyle="1" w:styleId="Text1">
    <w:name w:val="Text 1"/>
    <w:basedOn w:val="Standard"/>
    <w:rsid w:val="00386EC4"/>
    <w:pPr>
      <w:spacing w:before="120" w:after="120"/>
      <w:ind w:left="850"/>
      <w:jc w:val="both"/>
    </w:pPr>
    <w:rPr>
      <w:sz w:val="24"/>
      <w:szCs w:val="24"/>
    </w:rPr>
  </w:style>
  <w:style w:type="paragraph" w:customStyle="1" w:styleId="Point1">
    <w:name w:val="Point 1"/>
    <w:basedOn w:val="Standard"/>
    <w:rsid w:val="00386EC4"/>
    <w:pPr>
      <w:spacing w:before="120" w:after="120"/>
      <w:ind w:left="1417" w:hanging="567"/>
      <w:jc w:val="both"/>
    </w:pPr>
    <w:rPr>
      <w:sz w:val="24"/>
      <w:szCs w:val="24"/>
    </w:rPr>
  </w:style>
  <w:style w:type="paragraph" w:customStyle="1" w:styleId="Footnote">
    <w:name w:val="Footnote"/>
    <w:basedOn w:val="Standard"/>
    <w:rsid w:val="00386EC4"/>
  </w:style>
  <w:style w:type="paragraph" w:customStyle="1" w:styleId="Text3">
    <w:name w:val="Text 3"/>
    <w:basedOn w:val="Standard"/>
    <w:rsid w:val="00386EC4"/>
    <w:pPr>
      <w:spacing w:before="120" w:after="120"/>
      <w:ind w:left="850"/>
      <w:jc w:val="both"/>
    </w:pPr>
    <w:rPr>
      <w:sz w:val="24"/>
      <w:szCs w:val="24"/>
    </w:rPr>
  </w:style>
  <w:style w:type="paragraph" w:customStyle="1" w:styleId="QuotedText">
    <w:name w:val="Quoted Text"/>
    <w:basedOn w:val="Standard"/>
    <w:rsid w:val="00386EC4"/>
    <w:pPr>
      <w:spacing w:before="120" w:after="120"/>
      <w:ind w:left="1417"/>
      <w:jc w:val="both"/>
    </w:pPr>
    <w:rPr>
      <w:sz w:val="24"/>
      <w:szCs w:val="24"/>
    </w:rPr>
  </w:style>
  <w:style w:type="paragraph" w:customStyle="1" w:styleId="Point2">
    <w:name w:val="Point 2"/>
    <w:basedOn w:val="Standard"/>
    <w:rsid w:val="00386EC4"/>
    <w:pPr>
      <w:spacing w:before="120" w:after="120"/>
      <w:ind w:left="1984" w:hanging="567"/>
      <w:jc w:val="both"/>
    </w:pPr>
    <w:rPr>
      <w:sz w:val="24"/>
      <w:szCs w:val="24"/>
    </w:rPr>
  </w:style>
  <w:style w:type="paragraph" w:customStyle="1" w:styleId="ManualHeading1">
    <w:name w:val="Manual Heading 1"/>
    <w:basedOn w:val="Standard"/>
    <w:next w:val="Text1"/>
    <w:rsid w:val="00386EC4"/>
    <w:pPr>
      <w:keepNext/>
      <w:tabs>
        <w:tab w:val="left" w:pos="1700"/>
      </w:tabs>
      <w:spacing w:before="360" w:after="120"/>
      <w:ind w:left="850" w:hanging="850"/>
      <w:jc w:val="both"/>
    </w:pPr>
    <w:rPr>
      <w:b/>
      <w:smallCaps/>
      <w:sz w:val="24"/>
      <w:szCs w:val="24"/>
    </w:rPr>
  </w:style>
  <w:style w:type="paragraph" w:customStyle="1" w:styleId="ManualHeading2">
    <w:name w:val="Manual Heading 2"/>
    <w:basedOn w:val="Standard"/>
    <w:next w:val="Standard"/>
    <w:rsid w:val="00386EC4"/>
    <w:pPr>
      <w:keepNext/>
      <w:tabs>
        <w:tab w:val="left" w:pos="1700"/>
      </w:tabs>
      <w:spacing w:before="120" w:after="120"/>
      <w:ind w:left="850" w:hanging="850"/>
      <w:jc w:val="both"/>
    </w:pPr>
    <w:rPr>
      <w:b/>
      <w:sz w:val="24"/>
      <w:szCs w:val="24"/>
    </w:rPr>
  </w:style>
  <w:style w:type="paragraph" w:customStyle="1" w:styleId="ManualHeading3">
    <w:name w:val="Manual Heading 3"/>
    <w:basedOn w:val="Standard"/>
    <w:next w:val="Text3"/>
    <w:rsid w:val="00386EC4"/>
    <w:pPr>
      <w:keepNext/>
      <w:tabs>
        <w:tab w:val="left" w:pos="1700"/>
      </w:tabs>
      <w:spacing w:before="120" w:after="120"/>
      <w:ind w:left="850" w:hanging="850"/>
      <w:jc w:val="both"/>
    </w:pPr>
    <w:rPr>
      <w:i/>
      <w:sz w:val="24"/>
      <w:szCs w:val="24"/>
    </w:rPr>
  </w:style>
  <w:style w:type="paragraph" w:customStyle="1" w:styleId="Textoindependiente21">
    <w:name w:val="Texto independiente 21"/>
    <w:basedOn w:val="Standard"/>
    <w:rsid w:val="00386EC4"/>
    <w:pPr>
      <w:spacing w:after="120" w:line="480" w:lineRule="auto"/>
    </w:pPr>
  </w:style>
  <w:style w:type="paragraph" w:customStyle="1" w:styleId="Default">
    <w:name w:val="Default"/>
    <w:rsid w:val="00386EC4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386EC4"/>
    <w:pPr>
      <w:suppressLineNumbers/>
    </w:pPr>
  </w:style>
  <w:style w:type="paragraph" w:customStyle="1" w:styleId="Encabezadodelatabla">
    <w:name w:val="Encabezado de la tabla"/>
    <w:basedOn w:val="TableContents"/>
    <w:rsid w:val="00386EC4"/>
    <w:pPr>
      <w:jc w:val="center"/>
    </w:pPr>
    <w:rPr>
      <w:b/>
      <w:bCs/>
    </w:rPr>
  </w:style>
  <w:style w:type="character" w:customStyle="1" w:styleId="WW8Num1z0">
    <w:name w:val="WW8Num1z0"/>
    <w:rsid w:val="00386EC4"/>
    <w:rPr>
      <w:rFonts w:cs="Times New Roman"/>
    </w:rPr>
  </w:style>
  <w:style w:type="character" w:customStyle="1" w:styleId="WW8Num1z1">
    <w:name w:val="WW8Num1z1"/>
    <w:rsid w:val="00386EC4"/>
    <w:rPr>
      <w:rFonts w:cs="Times New Roman"/>
    </w:rPr>
  </w:style>
  <w:style w:type="character" w:customStyle="1" w:styleId="WW8Num2z0">
    <w:name w:val="WW8Num2z0"/>
    <w:rsid w:val="00386EC4"/>
    <w:rPr>
      <w:rFonts w:cs="Times New Roman"/>
    </w:rPr>
  </w:style>
  <w:style w:type="character" w:customStyle="1" w:styleId="WW8Num2z1">
    <w:name w:val="WW8Num2z1"/>
    <w:rsid w:val="00386EC4"/>
    <w:rPr>
      <w:rFonts w:cs="Times New Roman"/>
    </w:rPr>
  </w:style>
  <w:style w:type="character" w:customStyle="1" w:styleId="WW8Num3z0">
    <w:name w:val="WW8Num3z0"/>
    <w:rsid w:val="00386EC4"/>
    <w:rPr>
      <w:b/>
      <w:sz w:val="22"/>
    </w:rPr>
  </w:style>
  <w:style w:type="character" w:customStyle="1" w:styleId="WW8Num3z1">
    <w:name w:val="WW8Num3z1"/>
    <w:rsid w:val="00386EC4"/>
  </w:style>
  <w:style w:type="character" w:customStyle="1" w:styleId="WW8Num3z2">
    <w:name w:val="WW8Num3z2"/>
    <w:rsid w:val="00386EC4"/>
  </w:style>
  <w:style w:type="character" w:customStyle="1" w:styleId="WW8Num3z3">
    <w:name w:val="WW8Num3z3"/>
    <w:rsid w:val="00386EC4"/>
  </w:style>
  <w:style w:type="character" w:customStyle="1" w:styleId="WW8Num3z4">
    <w:name w:val="WW8Num3z4"/>
    <w:rsid w:val="00386EC4"/>
  </w:style>
  <w:style w:type="character" w:customStyle="1" w:styleId="WW8Num3z5">
    <w:name w:val="WW8Num3z5"/>
    <w:rsid w:val="00386EC4"/>
  </w:style>
  <w:style w:type="character" w:customStyle="1" w:styleId="WW8Num3z6">
    <w:name w:val="WW8Num3z6"/>
    <w:rsid w:val="00386EC4"/>
  </w:style>
  <w:style w:type="character" w:customStyle="1" w:styleId="WW8Num3z7">
    <w:name w:val="WW8Num3z7"/>
    <w:rsid w:val="00386EC4"/>
  </w:style>
  <w:style w:type="character" w:customStyle="1" w:styleId="WW8Num3z8">
    <w:name w:val="WW8Num3z8"/>
    <w:rsid w:val="00386EC4"/>
  </w:style>
  <w:style w:type="character" w:customStyle="1" w:styleId="WW8Num4z0">
    <w:name w:val="WW8Num4z0"/>
    <w:rsid w:val="00386EC4"/>
  </w:style>
  <w:style w:type="character" w:customStyle="1" w:styleId="WW8Num4z1">
    <w:name w:val="WW8Num4z1"/>
    <w:rsid w:val="00386EC4"/>
    <w:rPr>
      <w:rFonts w:ascii="Courier New" w:hAnsi="Courier New" w:cs="Courier New"/>
    </w:rPr>
  </w:style>
  <w:style w:type="character" w:customStyle="1" w:styleId="WW8Num4z2">
    <w:name w:val="WW8Num4z2"/>
    <w:rsid w:val="00386EC4"/>
    <w:rPr>
      <w:rFonts w:ascii="Wingdings" w:hAnsi="Wingdings" w:cs="Wingdings"/>
    </w:rPr>
  </w:style>
  <w:style w:type="character" w:customStyle="1" w:styleId="WW8Num4z3">
    <w:name w:val="WW8Num4z3"/>
    <w:rsid w:val="00386EC4"/>
    <w:rPr>
      <w:rFonts w:ascii="Symbol" w:hAnsi="Symbol" w:cs="Symbol"/>
    </w:rPr>
  </w:style>
  <w:style w:type="character" w:customStyle="1" w:styleId="WW8Num5z0">
    <w:name w:val="WW8Num5z0"/>
    <w:rsid w:val="00386EC4"/>
  </w:style>
  <w:style w:type="character" w:customStyle="1" w:styleId="WW8Num5z1">
    <w:name w:val="WW8Num5z1"/>
    <w:rsid w:val="00386EC4"/>
  </w:style>
  <w:style w:type="character" w:customStyle="1" w:styleId="WW8Num5z2">
    <w:name w:val="WW8Num5z2"/>
    <w:rsid w:val="00386EC4"/>
  </w:style>
  <w:style w:type="character" w:customStyle="1" w:styleId="WW8Num5z3">
    <w:name w:val="WW8Num5z3"/>
    <w:rsid w:val="00386EC4"/>
  </w:style>
  <w:style w:type="character" w:customStyle="1" w:styleId="WW8Num5z4">
    <w:name w:val="WW8Num5z4"/>
    <w:rsid w:val="00386EC4"/>
  </w:style>
  <w:style w:type="character" w:customStyle="1" w:styleId="WW8Num5z5">
    <w:name w:val="WW8Num5z5"/>
    <w:rsid w:val="00386EC4"/>
  </w:style>
  <w:style w:type="character" w:customStyle="1" w:styleId="WW8Num5z6">
    <w:name w:val="WW8Num5z6"/>
    <w:rsid w:val="00386EC4"/>
  </w:style>
  <w:style w:type="character" w:customStyle="1" w:styleId="WW8Num5z7">
    <w:name w:val="WW8Num5z7"/>
    <w:rsid w:val="00386EC4"/>
  </w:style>
  <w:style w:type="character" w:customStyle="1" w:styleId="WW8Num5z8">
    <w:name w:val="WW8Num5z8"/>
    <w:rsid w:val="00386EC4"/>
  </w:style>
  <w:style w:type="character" w:customStyle="1" w:styleId="Fuentedeprrafopredeter1">
    <w:name w:val="Fuente de párrafo predeter.1"/>
    <w:rsid w:val="00386EC4"/>
  </w:style>
  <w:style w:type="character" w:customStyle="1" w:styleId="EncabezadoCar">
    <w:name w:val="Encabezado Car"/>
    <w:basedOn w:val="Fuentedeprrafopredeter1"/>
    <w:rsid w:val="00386EC4"/>
  </w:style>
  <w:style w:type="character" w:customStyle="1" w:styleId="TextonotapieCar">
    <w:name w:val="Texto nota pie Car"/>
    <w:rsid w:val="00386EC4"/>
    <w:rPr>
      <w:lang w:val="es-ES" w:bidi="ar-SA"/>
    </w:rPr>
  </w:style>
  <w:style w:type="character" w:customStyle="1" w:styleId="FootnoteSymbol">
    <w:name w:val="Footnote Symbol"/>
    <w:rsid w:val="00386EC4"/>
    <w:rPr>
      <w:rFonts w:cs="Times New Roman"/>
      <w:position w:val="0"/>
      <w:vertAlign w:val="superscript"/>
    </w:rPr>
  </w:style>
  <w:style w:type="paragraph" w:styleId="Encabezado">
    <w:name w:val="header"/>
    <w:basedOn w:val="Normal"/>
    <w:link w:val="EncabezadoCar1"/>
    <w:uiPriority w:val="99"/>
    <w:semiHidden/>
    <w:unhideWhenUsed/>
    <w:rsid w:val="00386EC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86EC4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386EC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EC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de Acciones Complementarias</vt:lpstr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de Acciones Complementarias</dc:title>
  <dc:creator>SGTI</dc:creator>
  <cp:lastModifiedBy>Mili</cp:lastModifiedBy>
  <cp:revision>1</cp:revision>
  <cp:lastPrinted>2022-11-16T13:04:00Z</cp:lastPrinted>
  <dcterms:created xsi:type="dcterms:W3CDTF">2020-07-27T11:00:00Z</dcterms:created>
  <dcterms:modified xsi:type="dcterms:W3CDTF">2022-12-01T20:21:00Z</dcterms:modified>
</cp:coreProperties>
</file>